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Извещение о проведении открытого конкурса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по отбору управляющей организации для управления многоквартирным домом, расположенным по адресу.: Иркутская область, г. Тайшет, ул. Автозаводская, </w:t>
      </w:r>
      <w:r>
        <w:rPr>
          <w:b/>
          <w:sz w:val="24"/>
          <w:szCs w:val="24"/>
        </w:rPr>
        <w:t xml:space="preserve">д. 1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  <w:t xml:space="preserve">10 июня 2026 года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3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Основание проведения открытого конкурса: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</w:t>
      </w:r>
      <w:r>
        <w:rPr>
          <w:b w:val="0"/>
          <w:bCs w:val="0"/>
          <w:color w:val="auto"/>
          <w:sz w:val="24"/>
          <w:szCs w:val="24"/>
        </w:rPr>
        <w:t xml:space="preserve">обственниками помещений в многоквартирном по адресу: </w:t>
      </w:r>
      <w:r>
        <w:rPr>
          <w:b w:val="0"/>
          <w:bCs w:val="0"/>
          <w:sz w:val="24"/>
          <w:szCs w:val="24"/>
        </w:rPr>
        <w:t xml:space="preserve">Иркутская область, г. Тайшет, ул. Автозаводская, </w:t>
      </w:r>
      <w:r>
        <w:rPr>
          <w:b w:val="0"/>
          <w:bCs w:val="0"/>
          <w:sz w:val="24"/>
          <w:szCs w:val="24"/>
        </w:rPr>
        <w:t xml:space="preserve">д. 1</w:t>
      </w:r>
      <w:r>
        <w:rPr>
          <w:b w:val="0"/>
          <w:bCs w:val="0"/>
          <w:color w:val="auto"/>
          <w:sz w:val="24"/>
          <w:szCs w:val="24"/>
        </w:rPr>
        <w:t xml:space="preserve"> не выбран способ управления указанным домом.</w:t>
      </w:r>
      <w:r>
        <w:rPr>
          <w:b w:val="0"/>
          <w:bCs w:val="0"/>
          <w:color w:val="auto"/>
          <w:sz w:val="24"/>
          <w:szCs w:val="24"/>
        </w:rPr>
      </w:r>
      <w:r>
        <w:rPr>
          <w:b w:val="0"/>
          <w:bCs w:val="0"/>
          <w:color w:val="auto"/>
          <w:sz w:val="24"/>
          <w:szCs w:val="24"/>
        </w:rPr>
      </w:r>
    </w:p>
    <w:p>
      <w:pPr>
        <w:pStyle w:val="9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-Гражданский кодекс Российской Федерации;</w:t>
      </w:r>
      <w:r/>
    </w:p>
    <w:p>
      <w:pPr>
        <w:ind w:left="0" w:right="0" w:firstLine="708"/>
        <w:jc w:val="both"/>
        <w:spacing w:line="272" w:lineRule="atLeast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-Жилищный кодекс Российской Федерации;</w:t>
      </w:r>
      <w:r/>
    </w:p>
    <w:p>
      <w:pPr>
        <w:ind w:left="0" w:right="0" w:firstLine="708"/>
        <w:jc w:val="both"/>
        <w:spacing w:line="272" w:lineRule="atLeast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/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          -Распоряжение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министрации Тайшетского муниципального округа от 8 июня 2026 года № 17 «О проведении открытого конкурса по отбору управляющей организации для управления  многоквартирным домом, расположенным по адресу: Иркутская область, г. Тайшет, ул. Автозаводская, д. 1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(далее распоряжение №17).</w:t>
      </w:r>
      <w:r>
        <w:rPr>
          <w:rFonts w:ascii="Times New Roman" w:hAnsi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none"/>
        </w:rPr>
      </w:r>
    </w:p>
    <w:p>
      <w:pPr>
        <w:pStyle w:val="937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white"/>
        </w:rPr>
        <w:t xml:space="preserve">лефона организатора конкурса: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whit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white"/>
        </w:rPr>
        <w:t xml:space="preserve"> д.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, помещ.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, каб.28, электронная почта:</w:t>
      </w:r>
      <w:r>
        <w:rPr>
          <w:sz w:val="24"/>
          <w:szCs w:val="24"/>
          <w:highlight w:val="white"/>
          <w:lang w:val="en-US"/>
        </w:rPr>
        <w:fldChar w:fldCharType="begin"/>
      </w:r>
      <w:r>
        <w:rPr>
          <w:sz w:val="24"/>
          <w:szCs w:val="24"/>
          <w:highlight w:val="white"/>
        </w:rPr>
        <w:instrText xml:space="preserve"> </w:instrText>
      </w:r>
      <w:r>
        <w:rPr>
          <w:sz w:val="24"/>
          <w:szCs w:val="24"/>
          <w:highlight w:val="white"/>
          <w:lang w:val="en-US"/>
        </w:rPr>
        <w:instrText xml:space="preserve">HYPERLINK</w:instrText>
      </w:r>
      <w:r>
        <w:rPr>
          <w:sz w:val="24"/>
          <w:szCs w:val="24"/>
          <w:highlight w:val="white"/>
        </w:rPr>
        <w:instrText xml:space="preserve"> "</w:instrText>
      </w:r>
      <w:r>
        <w:rPr>
          <w:sz w:val="24"/>
          <w:szCs w:val="24"/>
          <w:highlight w:val="white"/>
          <w:lang w:val="en-US"/>
        </w:rPr>
        <w:instrText xml:space="preserve">http</w:instrText>
      </w:r>
      <w:r>
        <w:rPr>
          <w:sz w:val="24"/>
          <w:szCs w:val="24"/>
          <w:highlight w:val="white"/>
        </w:rPr>
        <w:instrText xml:space="preserve">://</w:instrText>
      </w:r>
      <w:r>
        <w:rPr>
          <w:sz w:val="24"/>
          <w:szCs w:val="24"/>
          <w:highlight w:val="white"/>
          <w:lang w:val="en-US"/>
        </w:rPr>
        <w:instrText xml:space="preserve">www</w:instrText>
      </w:r>
      <w:r>
        <w:rPr>
          <w:sz w:val="24"/>
          <w:szCs w:val="24"/>
          <w:highlight w:val="white"/>
        </w:rPr>
        <w:instrText xml:space="preserve">.</w:instrText>
      </w:r>
      <w:r>
        <w:rPr>
          <w:sz w:val="24"/>
          <w:szCs w:val="24"/>
          <w:highlight w:val="white"/>
          <w:lang w:val="en-US"/>
        </w:rPr>
        <w:instrText xml:space="preserve">umitgp</w:instrText>
      </w:r>
      <w:r>
        <w:rPr>
          <w:sz w:val="24"/>
          <w:szCs w:val="24"/>
          <w:highlight w:val="white"/>
        </w:rPr>
        <w:instrText xml:space="preserve">@" </w:instrText>
      </w:r>
      <w:r>
        <w:rPr>
          <w:sz w:val="24"/>
          <w:szCs w:val="24"/>
          <w:highlight w:val="white"/>
          <w:lang w:val="en-US"/>
        </w:rPr>
        <w:fldChar w:fldCharType="separate"/>
      </w:r>
      <w:r>
        <w:rPr>
          <w:rStyle w:val="949"/>
          <w:sz w:val="24"/>
          <w:szCs w:val="24"/>
          <w:highlight w:val="white"/>
        </w:rPr>
        <w:t xml:space="preserve">.</w:t>
      </w:r>
      <w:r>
        <w:rPr>
          <w:rStyle w:val="949"/>
          <w:sz w:val="24"/>
          <w:szCs w:val="24"/>
          <w:highlight w:val="white"/>
        </w:rPr>
        <w:t xml:space="preserve">zkh.zkh@</w:t>
      </w:r>
      <w:r>
        <w:rPr>
          <w:sz w:val="24"/>
          <w:szCs w:val="24"/>
          <w:highlight w:val="white"/>
          <w:lang w:val="en-US"/>
        </w:rPr>
        <w:fldChar w:fldCharType="end"/>
      </w:r>
      <w:r>
        <w:rPr>
          <w:sz w:val="24"/>
          <w:szCs w:val="24"/>
          <w:highlight w:val="white"/>
          <w:lang w:val="en-US"/>
        </w:rPr>
        <w:t xml:space="preserve">mail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  <w:lang w:val="en-US"/>
        </w:rPr>
        <w:t xml:space="preserve">ru</w:t>
      </w:r>
      <w:r>
        <w:rPr>
          <w:sz w:val="24"/>
          <w:szCs w:val="24"/>
          <w:highlight w:val="white"/>
        </w:rPr>
        <w:t xml:space="preserve">., контактный телефон: 8(39563) 2-20-38, 2-04-27.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rPr>
          <w:b/>
          <w:sz w:val="22"/>
          <w:szCs w:val="22"/>
        </w:rPr>
      </w:pPr>
      <w:r>
        <w:rPr>
          <w:b/>
          <w:sz w:val="24"/>
          <w:szCs w:val="24"/>
          <w:highlight w:val="white"/>
        </w:rPr>
        <w:t xml:space="preserve">3. </w:t>
      </w:r>
      <w:r>
        <w:rPr>
          <w:b/>
          <w:sz w:val="24"/>
          <w:szCs w:val="24"/>
          <w:highlight w:val="whit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</w:rPr>
        <w:t xml:space="preserve">количество квартир, пло</w:t>
      </w:r>
      <w:r>
        <w:rPr>
          <w:b/>
          <w:sz w:val="24"/>
          <w:szCs w:val="24"/>
        </w:rPr>
        <w:t xml:space="preserve">щадь жилы</w:t>
      </w:r>
      <w:r>
        <w:rPr>
          <w:b/>
          <w:sz w:val="24"/>
          <w:szCs w:val="24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360"/>
        <w:jc w:val="both"/>
        <w:rPr>
          <w:sz w:val="22"/>
          <w:szCs w:val="22"/>
        </w:rPr>
      </w:pPr>
      <w:r>
        <w:rPr>
          <w:b w:val="0"/>
          <w:bCs w:val="0"/>
          <w:sz w:val="24"/>
          <w:szCs w:val="24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</w:rPr>
        <w:t xml:space="preserve">приложении № 1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sz w:val="24"/>
          <w:szCs w:val="24"/>
          <w:highlight w:val="none"/>
        </w:rPr>
        <w:t xml:space="preserve">, утвержденной </w:t>
      </w:r>
      <w:r>
        <w:rPr>
          <w:sz w:val="24"/>
          <w:szCs w:val="24"/>
          <w:highlight w:val="none"/>
        </w:rPr>
        <w:t xml:space="preserve">распоряжением № 17.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7"/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>
        <w:rPr>
          <w:b/>
          <w:sz w:val="24"/>
          <w:szCs w:val="24"/>
        </w:rPr>
        <w:t xml:space="preserve">Перечень обязательных работ и услуг </w:t>
      </w:r>
      <w:r>
        <w:rPr>
          <w:sz w:val="24"/>
          <w:szCs w:val="24"/>
        </w:rPr>
        <w:t xml:space="preserve">по содержанию и ремонту общего имущества собственников </w:t>
      </w:r>
      <w:r>
        <w:rPr>
          <w:sz w:val="24"/>
          <w:szCs w:val="24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</w:rPr>
        <w:t xml:space="preserve">приложении № 2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sz w:val="24"/>
          <w:szCs w:val="24"/>
          <w:highlight w:val="none"/>
        </w:rPr>
        <w:t xml:space="preserve">, утвержденной </w:t>
      </w:r>
      <w:r>
        <w:rPr>
          <w:sz w:val="24"/>
          <w:szCs w:val="24"/>
          <w:highlight w:val="none"/>
        </w:rPr>
        <w:t xml:space="preserve">распоряжением № 17.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</w:t>
      </w:r>
      <w:r>
        <w:rPr>
          <w:b/>
          <w:sz w:val="24"/>
          <w:szCs w:val="24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-</w:t>
      </w:r>
      <w:r>
        <w:rPr>
          <w:sz w:val="24"/>
          <w:szCs w:val="24"/>
        </w:rPr>
        <w:t xml:space="preserve"> Иркутская область, г. Тайшет, </w:t>
      </w:r>
      <w:r>
        <w:rPr>
          <w:sz w:val="24"/>
          <w:szCs w:val="24"/>
        </w:rPr>
        <w:t xml:space="preserve">ул. Автозаводская</w:t>
      </w:r>
      <w:r>
        <w:rPr>
          <w:sz w:val="24"/>
          <w:szCs w:val="24"/>
        </w:rPr>
        <w:t xml:space="preserve">, д. 1 – </w:t>
      </w:r>
      <w:r>
        <w:rPr>
          <w:sz w:val="24"/>
          <w:szCs w:val="24"/>
        </w:rPr>
        <w:t xml:space="preserve">23,96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руб.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1 кв.м. общей пл</w:t>
      </w:r>
      <w:r>
        <w:rPr>
          <w:sz w:val="24"/>
          <w:szCs w:val="24"/>
        </w:rPr>
        <w:t xml:space="preserve">ощади в месяц.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6</w:t>
      </w:r>
      <w:r>
        <w:rPr>
          <w:b/>
          <w:sz w:val="24"/>
          <w:szCs w:val="24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-отопление;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горячее водоснабжение;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холодное водоснабжение;</w:t>
      </w:r>
      <w:r>
        <w:rPr>
          <w:sz w:val="24"/>
          <w:szCs w:val="24"/>
        </w:rPr>
        <w:t xml:space="preserve"> водоотведение</w:t>
      </w:r>
      <w:r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электроснабжение;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обращение с твердыми коммунальными отходами.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</w:t>
      </w:r>
      <w:r>
        <w:rPr>
          <w:b/>
          <w:sz w:val="24"/>
          <w:szCs w:val="24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whit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white"/>
        </w:rPr>
        <w:fldChar w:fldCharType="begin"/>
      </w:r>
      <w:r>
        <w:rPr>
          <w:rFonts w:ascii="Times New Roman" w:hAnsi="Times New Roman"/>
          <w:sz w:val="24"/>
          <w:szCs w:val="24"/>
          <w:highlight w:val="whit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white"/>
        </w:rPr>
        <w:fldChar w:fldCharType="separate"/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www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torgi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gov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white"/>
        </w:rPr>
        <w:fldChar w:fldCharType="end"/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hyperlink r:id="rId11" w:tooltip="https://taishet.irkmo.ru/" w:history="1"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https://taishet.irk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mo.ru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/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7"/>
        <w:ind w:firstLine="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8</w:t>
      </w:r>
      <w:r>
        <w:rPr>
          <w:b/>
          <w:sz w:val="24"/>
          <w:szCs w:val="24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37"/>
        <w:ind w:right="-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whit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ind w:right="-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  <w:t xml:space="preserve">1. Место, дата и время проведения конкурса: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yellow"/>
        </w:rPr>
      </w:pPr>
      <w:r>
        <w:rPr>
          <w:b w:val="0"/>
          <w:bCs w:val="0"/>
          <w:sz w:val="24"/>
          <w:szCs w:val="24"/>
          <w:highlight w:val="yellow"/>
        </w:rPr>
      </w:r>
      <w:r>
        <w:rPr>
          <w:b w:val="0"/>
          <w:bCs w:val="0"/>
          <w:sz w:val="24"/>
          <w:szCs w:val="24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yellow"/>
        </w:rPr>
      </w:r>
      <w:r>
        <w:rPr>
          <w:b w:val="0"/>
          <w:bCs w:val="0"/>
          <w:sz w:val="24"/>
          <w:szCs w:val="24"/>
          <w:highlight w:val="yellow"/>
        </w:rPr>
      </w:r>
    </w:p>
    <w:p>
      <w:pPr>
        <w:pStyle w:val="937"/>
        <w:ind w:right="-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  <w:t xml:space="preserve">2. Размер обеспечения заявки на участие в конкурсе составляет: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Размер обеспечения заявки на участие в конкурсе составляет 4017,01 рублей (четыре тысячи семнадцать рублей 01 копейка).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jc w:val="left"/>
        <w:spacing w:line="57" w:lineRule="atLeast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szCs w:val="24"/>
        </w:rPr>
      </w:r>
      <w:r>
        <w:rPr>
          <w:szCs w:val="24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Наименование получателя: 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ИНН 3816038607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КПП 381601001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ОКТМО 25636101001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азначейский счет (корр.счет) 40102810145370000026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Единый казначейский счет (расчетн. счет) 03232643255360003400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ОКЦ №4 СибГУ Банк России//УФК по Иркутской области г. Иркутск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БИК 012520101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л/с 92501060201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КБК 00000000000000000517</w:t>
      </w:r>
      <w:r>
        <w:rPr>
          <w:szCs w:val="24"/>
        </w:rPr>
      </w:r>
      <w:r>
        <w:rPr>
          <w:szCs w:val="24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В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многоквартирным домом по адресу: Иркутская область, г.Тайшет, ул.Автозаводская, д.1, НДС 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 облагается».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муниципального округа                                                                                      Е.В.Пуляров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separate"/>
    </w:r>
    <w:r>
      <w:rPr>
        <w:rStyle w:val="948"/>
      </w:rPr>
      <w:t xml:space="preserve">3</w: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5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>
    <w:name w:val="Heading 1"/>
    <w:basedOn w:val="937"/>
    <w:next w:val="937"/>
    <w:link w:val="7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1">
    <w:name w:val="Heading 1 Char"/>
    <w:link w:val="760"/>
    <w:uiPriority w:val="9"/>
    <w:rPr>
      <w:rFonts w:ascii="Arial" w:hAnsi="Arial" w:eastAsia="Arial" w:cs="Arial"/>
      <w:sz w:val="40"/>
      <w:szCs w:val="40"/>
    </w:rPr>
  </w:style>
  <w:style w:type="paragraph" w:styleId="762">
    <w:name w:val="Heading 2"/>
    <w:basedOn w:val="937"/>
    <w:next w:val="937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3">
    <w:name w:val="Heading 2 Char"/>
    <w:link w:val="762"/>
    <w:uiPriority w:val="9"/>
    <w:rPr>
      <w:rFonts w:ascii="Arial" w:hAnsi="Arial" w:eastAsia="Arial" w:cs="Arial"/>
      <w:sz w:val="34"/>
    </w:rPr>
  </w:style>
  <w:style w:type="paragraph" w:styleId="764">
    <w:name w:val="Heading 3"/>
    <w:basedOn w:val="937"/>
    <w:next w:val="937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5">
    <w:name w:val="Heading 3 Char"/>
    <w:link w:val="764"/>
    <w:uiPriority w:val="9"/>
    <w:rPr>
      <w:rFonts w:ascii="Arial" w:hAnsi="Arial" w:eastAsia="Arial" w:cs="Arial"/>
      <w:sz w:val="30"/>
      <w:szCs w:val="30"/>
    </w:rPr>
  </w:style>
  <w:style w:type="paragraph" w:styleId="766">
    <w:name w:val="Heading 4"/>
    <w:basedOn w:val="937"/>
    <w:next w:val="9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7">
    <w:name w:val="Heading 4 Char"/>
    <w:link w:val="766"/>
    <w:uiPriority w:val="9"/>
    <w:rPr>
      <w:rFonts w:ascii="Arial" w:hAnsi="Arial" w:eastAsia="Arial" w:cs="Arial"/>
      <w:b/>
      <w:bCs/>
      <w:sz w:val="26"/>
      <w:szCs w:val="26"/>
    </w:rPr>
  </w:style>
  <w:style w:type="paragraph" w:styleId="768">
    <w:name w:val="Heading 5"/>
    <w:basedOn w:val="937"/>
    <w:next w:val="937"/>
    <w:link w:val="7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9">
    <w:name w:val="Heading 5 Char"/>
    <w:link w:val="768"/>
    <w:uiPriority w:val="9"/>
    <w:rPr>
      <w:rFonts w:ascii="Arial" w:hAnsi="Arial" w:eastAsia="Arial" w:cs="Arial"/>
      <w:b/>
      <w:bCs/>
      <w:sz w:val="24"/>
      <w:szCs w:val="24"/>
    </w:rPr>
  </w:style>
  <w:style w:type="paragraph" w:styleId="770">
    <w:name w:val="Heading 6"/>
    <w:basedOn w:val="937"/>
    <w:next w:val="937"/>
    <w:link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1">
    <w:name w:val="Heading 6 Char"/>
    <w:link w:val="770"/>
    <w:uiPriority w:val="9"/>
    <w:rPr>
      <w:rFonts w:ascii="Arial" w:hAnsi="Arial" w:eastAsia="Arial" w:cs="Arial"/>
      <w:b/>
      <w:bCs/>
      <w:sz w:val="22"/>
      <w:szCs w:val="22"/>
    </w:rPr>
  </w:style>
  <w:style w:type="paragraph" w:styleId="772">
    <w:name w:val="Heading 7"/>
    <w:basedOn w:val="937"/>
    <w:next w:val="937"/>
    <w:link w:val="7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7 Char"/>
    <w:link w:val="7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937"/>
    <w:next w:val="937"/>
    <w:link w:val="7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5">
    <w:name w:val="Heading 8 Char"/>
    <w:link w:val="774"/>
    <w:uiPriority w:val="9"/>
    <w:rPr>
      <w:rFonts w:ascii="Arial" w:hAnsi="Arial" w:eastAsia="Arial" w:cs="Arial"/>
      <w:i/>
      <w:iCs/>
      <w:sz w:val="22"/>
      <w:szCs w:val="22"/>
    </w:rPr>
  </w:style>
  <w:style w:type="paragraph" w:styleId="776">
    <w:name w:val="Heading 9"/>
    <w:basedOn w:val="937"/>
    <w:next w:val="937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7">
    <w:name w:val="Heading 9 Char"/>
    <w:link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778">
    <w:name w:val="List Paragraph"/>
    <w:basedOn w:val="937"/>
    <w:uiPriority w:val="34"/>
    <w:qFormat/>
    <w:pPr>
      <w:contextualSpacing/>
      <w:ind w:left="720"/>
    </w:pPr>
  </w:style>
  <w:style w:type="paragraph" w:styleId="779">
    <w:name w:val="Title"/>
    <w:basedOn w:val="937"/>
    <w:next w:val="937"/>
    <w:link w:val="7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0">
    <w:name w:val="Title Char"/>
    <w:link w:val="779"/>
    <w:uiPriority w:val="10"/>
    <w:rPr>
      <w:sz w:val="48"/>
      <w:szCs w:val="48"/>
    </w:rPr>
  </w:style>
  <w:style w:type="paragraph" w:styleId="781">
    <w:name w:val="Subtitle"/>
    <w:basedOn w:val="937"/>
    <w:next w:val="937"/>
    <w:link w:val="782"/>
    <w:uiPriority w:val="11"/>
    <w:qFormat/>
    <w:pPr>
      <w:spacing w:before="200" w:after="200"/>
    </w:pPr>
    <w:rPr>
      <w:sz w:val="24"/>
      <w:szCs w:val="24"/>
    </w:rPr>
  </w:style>
  <w:style w:type="character" w:styleId="782">
    <w:name w:val="Subtitle Char"/>
    <w:link w:val="781"/>
    <w:uiPriority w:val="11"/>
    <w:rPr>
      <w:sz w:val="24"/>
      <w:szCs w:val="24"/>
    </w:rPr>
  </w:style>
  <w:style w:type="paragraph" w:styleId="783">
    <w:name w:val="Quote"/>
    <w:basedOn w:val="937"/>
    <w:next w:val="937"/>
    <w:link w:val="784"/>
    <w:uiPriority w:val="29"/>
    <w:qFormat/>
    <w:pPr>
      <w:ind w:left="720" w:right="720"/>
    </w:pPr>
    <w:rPr>
      <w:i/>
    </w:r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7"/>
    <w:next w:val="937"/>
    <w:link w:val="7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>
    <w:name w:val="Intense Quote Char"/>
    <w:link w:val="785"/>
    <w:uiPriority w:val="30"/>
    <w:rPr>
      <w:i/>
    </w:rPr>
  </w:style>
  <w:style w:type="paragraph" w:styleId="787">
    <w:name w:val="Header"/>
    <w:basedOn w:val="937"/>
    <w:link w:val="7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Header Char"/>
    <w:link w:val="787"/>
    <w:uiPriority w:val="99"/>
  </w:style>
  <w:style w:type="paragraph" w:styleId="789">
    <w:name w:val="Footer"/>
    <w:basedOn w:val="937"/>
    <w:link w:val="7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>
    <w:name w:val="Footer Char"/>
    <w:link w:val="789"/>
    <w:uiPriority w:val="99"/>
  </w:style>
  <w:style w:type="paragraph" w:styleId="791">
    <w:name w:val="Caption"/>
    <w:basedOn w:val="937"/>
    <w:next w:val="9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2">
    <w:name w:val="Caption Char"/>
    <w:basedOn w:val="791"/>
    <w:link w:val="789"/>
    <w:uiPriority w:val="99"/>
  </w:style>
  <w:style w:type="table" w:styleId="79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9">
    <w:name w:val="Hyperlink"/>
    <w:uiPriority w:val="99"/>
    <w:unhideWhenUsed/>
    <w:rPr>
      <w:color w:val="0000ff" w:themeColor="hyperlink"/>
      <w:u w:val="single"/>
    </w:rPr>
  </w:style>
  <w:style w:type="paragraph" w:styleId="920">
    <w:name w:val="footnote text"/>
    <w:basedOn w:val="937"/>
    <w:link w:val="921"/>
    <w:uiPriority w:val="99"/>
    <w:semiHidden/>
    <w:unhideWhenUsed/>
    <w:pPr>
      <w:spacing w:after="40" w:line="240" w:lineRule="auto"/>
    </w:pPr>
    <w:rPr>
      <w:sz w:val="18"/>
    </w:rPr>
  </w:style>
  <w:style w:type="character" w:styleId="921">
    <w:name w:val="Footnote Text Char"/>
    <w:link w:val="920"/>
    <w:uiPriority w:val="99"/>
    <w:rPr>
      <w:sz w:val="18"/>
    </w:rPr>
  </w:style>
  <w:style w:type="character" w:styleId="922">
    <w:name w:val="footnote reference"/>
    <w:uiPriority w:val="99"/>
    <w:unhideWhenUsed/>
    <w:rPr>
      <w:vertAlign w:val="superscript"/>
    </w:rPr>
  </w:style>
  <w:style w:type="paragraph" w:styleId="923">
    <w:name w:val="endnote text"/>
    <w:basedOn w:val="937"/>
    <w:link w:val="924"/>
    <w:uiPriority w:val="99"/>
    <w:semiHidden/>
    <w:unhideWhenUsed/>
    <w:pPr>
      <w:spacing w:after="0" w:line="240" w:lineRule="auto"/>
    </w:pPr>
    <w:rPr>
      <w:sz w:val="20"/>
    </w:rPr>
  </w:style>
  <w:style w:type="character" w:styleId="924">
    <w:name w:val="Endnote Text Char"/>
    <w:link w:val="923"/>
    <w:uiPriority w:val="99"/>
    <w:rPr>
      <w:sz w:val="20"/>
    </w:rPr>
  </w:style>
  <w:style w:type="character" w:styleId="925">
    <w:name w:val="endnote reference"/>
    <w:uiPriority w:val="99"/>
    <w:semiHidden/>
    <w:unhideWhenUsed/>
    <w:rPr>
      <w:vertAlign w:val="superscript"/>
    </w:rPr>
  </w:style>
  <w:style w:type="paragraph" w:styleId="926">
    <w:name w:val="toc 1"/>
    <w:basedOn w:val="937"/>
    <w:next w:val="937"/>
    <w:uiPriority w:val="39"/>
    <w:unhideWhenUsed/>
    <w:pPr>
      <w:ind w:left="0" w:right="0" w:firstLine="0"/>
      <w:spacing w:after="57"/>
    </w:pPr>
  </w:style>
  <w:style w:type="paragraph" w:styleId="927">
    <w:name w:val="toc 2"/>
    <w:basedOn w:val="937"/>
    <w:next w:val="937"/>
    <w:uiPriority w:val="39"/>
    <w:unhideWhenUsed/>
    <w:pPr>
      <w:ind w:left="283" w:right="0" w:firstLine="0"/>
      <w:spacing w:after="57"/>
    </w:pPr>
  </w:style>
  <w:style w:type="paragraph" w:styleId="928">
    <w:name w:val="toc 3"/>
    <w:basedOn w:val="937"/>
    <w:next w:val="937"/>
    <w:uiPriority w:val="39"/>
    <w:unhideWhenUsed/>
    <w:pPr>
      <w:ind w:left="567" w:right="0" w:firstLine="0"/>
      <w:spacing w:after="57"/>
    </w:pPr>
  </w:style>
  <w:style w:type="paragraph" w:styleId="929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0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1">
    <w:name w:val="toc 6"/>
    <w:basedOn w:val="937"/>
    <w:next w:val="937"/>
    <w:uiPriority w:val="39"/>
    <w:unhideWhenUsed/>
    <w:pPr>
      <w:ind w:left="1417" w:right="0" w:firstLine="0"/>
      <w:spacing w:after="57"/>
    </w:pPr>
  </w:style>
  <w:style w:type="paragraph" w:styleId="932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3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4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next w:val="937"/>
    <w:link w:val="937"/>
    <w:qFormat/>
    <w:rPr>
      <w:sz w:val="24"/>
      <w:szCs w:val="24"/>
      <w:lang w:val="ru-RU" w:eastAsia="ru-RU" w:bidi="ar-SA"/>
    </w:rPr>
  </w:style>
  <w:style w:type="paragraph" w:styleId="938">
    <w:name w:val="Заголовок 1"/>
    <w:basedOn w:val="937"/>
    <w:next w:val="937"/>
    <w:link w:val="937"/>
    <w:qFormat/>
    <w:pPr>
      <w:jc w:val="center"/>
      <w:keepNext/>
      <w:outlineLvl w:val="0"/>
    </w:pPr>
    <w:rPr>
      <w:b/>
      <w:szCs w:val="20"/>
    </w:rPr>
  </w:style>
  <w:style w:type="paragraph" w:styleId="939">
    <w:name w:val="Заголовок 2"/>
    <w:basedOn w:val="937"/>
    <w:next w:val="937"/>
    <w:link w:val="937"/>
    <w:qFormat/>
    <w:pPr>
      <w:jc w:val="center"/>
      <w:keepNext/>
      <w:outlineLvl w:val="1"/>
    </w:pPr>
    <w:rPr>
      <w:b/>
      <w:sz w:val="28"/>
      <w:szCs w:val="20"/>
    </w:rPr>
  </w:style>
  <w:style w:type="paragraph" w:styleId="940">
    <w:name w:val="Заголовок 3"/>
    <w:basedOn w:val="937"/>
    <w:next w:val="937"/>
    <w:link w:val="937"/>
    <w:qFormat/>
    <w:pPr>
      <w:ind w:left="720"/>
      <w:keepNext/>
      <w:outlineLvl w:val="2"/>
    </w:pPr>
    <w:rPr>
      <w:b/>
      <w:szCs w:val="20"/>
    </w:rPr>
  </w:style>
  <w:style w:type="character" w:styleId="941">
    <w:name w:val="Основной шрифт абзаца"/>
    <w:next w:val="941"/>
    <w:link w:val="937"/>
    <w:semiHidden/>
  </w:style>
  <w:style w:type="table" w:styleId="942">
    <w:name w:val="Обычная таблица"/>
    <w:next w:val="942"/>
    <w:link w:val="937"/>
    <w:semiHidden/>
    <w:tblPr/>
  </w:style>
  <w:style w:type="numbering" w:styleId="943">
    <w:name w:val="Нет списка"/>
    <w:next w:val="943"/>
    <w:link w:val="937"/>
    <w:semiHidden/>
  </w:style>
  <w:style w:type="paragraph" w:styleId="944">
    <w:name w:val="Основной текст с отступом 2"/>
    <w:basedOn w:val="937"/>
    <w:next w:val="944"/>
    <w:link w:val="937"/>
    <w:pPr>
      <w:ind w:firstLine="720"/>
      <w:jc w:val="both"/>
    </w:pPr>
    <w:rPr>
      <w:szCs w:val="20"/>
    </w:rPr>
  </w:style>
  <w:style w:type="table" w:styleId="945">
    <w:name w:val="Сетка таблицы"/>
    <w:basedOn w:val="942"/>
    <w:next w:val="945"/>
    <w:link w:val="937"/>
    <w:tblPr/>
  </w:style>
  <w:style w:type="paragraph" w:styleId="946">
    <w:name w:val="ConsPlusNormal"/>
    <w:next w:val="946"/>
    <w:link w:val="93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47">
    <w:name w:val="Нижний колонтитул"/>
    <w:basedOn w:val="937"/>
    <w:next w:val="947"/>
    <w:link w:val="937"/>
    <w:pPr>
      <w:tabs>
        <w:tab w:val="center" w:pos="4677" w:leader="none"/>
        <w:tab w:val="right" w:pos="9355" w:leader="none"/>
      </w:tabs>
    </w:pPr>
  </w:style>
  <w:style w:type="character" w:styleId="948">
    <w:name w:val="Номер страницы"/>
    <w:basedOn w:val="941"/>
    <w:next w:val="948"/>
    <w:link w:val="937"/>
  </w:style>
  <w:style w:type="character" w:styleId="949">
    <w:name w:val="Гиперссылка"/>
    <w:basedOn w:val="941"/>
    <w:next w:val="949"/>
    <w:link w:val="937"/>
    <w:rPr>
      <w:color w:val="0000ff"/>
      <w:u w:val="single"/>
    </w:rPr>
  </w:style>
  <w:style w:type="paragraph" w:styleId="950">
    <w:name w:val="Основной текст"/>
    <w:basedOn w:val="937"/>
    <w:next w:val="950"/>
    <w:link w:val="937"/>
    <w:pPr>
      <w:jc w:val="both"/>
    </w:pPr>
    <w:rPr>
      <w:sz w:val="22"/>
      <w:szCs w:val="20"/>
    </w:rPr>
  </w:style>
  <w:style w:type="paragraph" w:styleId="951">
    <w:name w:val="Обычный (веб)"/>
    <w:basedOn w:val="937"/>
    <w:next w:val="951"/>
    <w:link w:val="93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52">
    <w:name w:val="Основной текст с отступом"/>
    <w:basedOn w:val="937"/>
    <w:next w:val="952"/>
    <w:link w:val="937"/>
    <w:pPr>
      <w:ind w:left="283"/>
      <w:spacing w:after="120"/>
    </w:pPr>
    <w:rPr>
      <w:sz w:val="22"/>
      <w:szCs w:val="20"/>
    </w:rPr>
  </w:style>
  <w:style w:type="paragraph" w:styleId="953">
    <w:name w:val="ConsPlusNonformat"/>
    <w:next w:val="953"/>
    <w:link w:val="93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54">
    <w:name w:val="ConsNormal"/>
    <w:next w:val="954"/>
    <w:link w:val="93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55">
    <w:name w:val="Верхний колонтитул"/>
    <w:basedOn w:val="937"/>
    <w:next w:val="955"/>
    <w:link w:val="93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56">
    <w:name w:val="No Spacing"/>
    <w:next w:val="956"/>
    <w:link w:val="937"/>
    <w:rPr>
      <w:rFonts w:ascii="Calibri" w:hAnsi="Calibri"/>
      <w:sz w:val="22"/>
      <w:szCs w:val="22"/>
      <w:lang w:val="ru-RU" w:eastAsia="ru-RU" w:bidi="ar-SA"/>
    </w:rPr>
  </w:style>
  <w:style w:type="paragraph" w:styleId="957">
    <w:name w:val="Стиль3"/>
    <w:basedOn w:val="944"/>
    <w:next w:val="957"/>
    <w:link w:val="93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58">
    <w:name w:val="Основной текст с отступом 3"/>
    <w:basedOn w:val="937"/>
    <w:next w:val="958"/>
    <w:link w:val="93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59">
    <w:name w:val="Название"/>
    <w:basedOn w:val="937"/>
    <w:next w:val="959"/>
    <w:link w:val="93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60">
    <w:name w:val="Style12"/>
    <w:basedOn w:val="937"/>
    <w:next w:val="960"/>
    <w:link w:val="937"/>
    <w:pPr>
      <w:jc w:val="both"/>
      <w:spacing w:line="250" w:lineRule="exact"/>
      <w:widowControl w:val="off"/>
    </w:pPr>
  </w:style>
  <w:style w:type="paragraph" w:styleId="961">
    <w:name w:val="Style16"/>
    <w:basedOn w:val="937"/>
    <w:next w:val="961"/>
    <w:link w:val="937"/>
    <w:pPr>
      <w:ind w:firstLine="624"/>
      <w:jc w:val="both"/>
      <w:spacing w:line="252" w:lineRule="exact"/>
      <w:widowControl w:val="off"/>
    </w:pPr>
  </w:style>
  <w:style w:type="paragraph" w:styleId="962">
    <w:name w:val="Style20"/>
    <w:basedOn w:val="937"/>
    <w:next w:val="962"/>
    <w:link w:val="937"/>
    <w:pPr>
      <w:ind w:firstLine="466"/>
      <w:jc w:val="both"/>
      <w:spacing w:line="259" w:lineRule="exact"/>
      <w:widowControl w:val="off"/>
    </w:pPr>
  </w:style>
  <w:style w:type="paragraph" w:styleId="963">
    <w:name w:val="Style22"/>
    <w:basedOn w:val="937"/>
    <w:next w:val="963"/>
    <w:link w:val="937"/>
    <w:pPr>
      <w:ind w:firstLine="552"/>
      <w:jc w:val="both"/>
      <w:spacing w:line="254" w:lineRule="exact"/>
      <w:widowControl w:val="off"/>
    </w:pPr>
  </w:style>
  <w:style w:type="character" w:styleId="964">
    <w:name w:val="Font Style25"/>
    <w:next w:val="964"/>
    <w:link w:val="937"/>
    <w:rPr>
      <w:rFonts w:ascii="Times New Roman" w:hAnsi="Times New Roman" w:cs="Times New Roman"/>
      <w:b/>
      <w:bCs/>
      <w:sz w:val="22"/>
      <w:szCs w:val="22"/>
    </w:rPr>
  </w:style>
  <w:style w:type="character" w:styleId="965">
    <w:name w:val="Font Style29"/>
    <w:next w:val="965"/>
    <w:link w:val="937"/>
    <w:rPr>
      <w:rFonts w:ascii="Times New Roman" w:hAnsi="Times New Roman" w:cs="Times New Roman"/>
      <w:sz w:val="22"/>
      <w:szCs w:val="22"/>
    </w:rPr>
  </w:style>
  <w:style w:type="paragraph" w:styleId="966">
    <w:name w:val="Style6"/>
    <w:basedOn w:val="937"/>
    <w:next w:val="966"/>
    <w:link w:val="937"/>
    <w:pPr>
      <w:ind w:firstLine="509"/>
      <w:jc w:val="both"/>
      <w:spacing w:line="254" w:lineRule="exact"/>
      <w:widowControl w:val="off"/>
    </w:pPr>
  </w:style>
  <w:style w:type="character" w:styleId="967" w:default="1">
    <w:name w:val="Default Paragraph Font"/>
    <w:uiPriority w:val="1"/>
    <w:semiHidden/>
    <w:unhideWhenUsed/>
  </w:style>
  <w:style w:type="numbering" w:styleId="968" w:default="1">
    <w:name w:val="No List"/>
    <w:uiPriority w:val="99"/>
    <w:semiHidden/>
    <w:unhideWhenUsed/>
  </w:style>
  <w:style w:type="table" w:styleId="9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18</cp:revision>
  <dcterms:created xsi:type="dcterms:W3CDTF">2024-10-31T08:01:00Z</dcterms:created>
  <dcterms:modified xsi:type="dcterms:W3CDTF">2026-06-15T04:43:29Z</dcterms:modified>
  <cp:version>786432</cp:version>
</cp:coreProperties>
</file>